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C64" w:rsidRDefault="00B34C64" w:rsidP="00B34C64">
      <w:pPr>
        <w:pStyle w:val="a3"/>
        <w:shd w:val="clear" w:color="auto" w:fill="FFFFFF"/>
        <w:spacing w:before="0" w:beforeAutospacing="0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Отвар </w:t>
      </w:r>
      <w:r w:rsidRPr="00B34C64">
        <w:rPr>
          <w:b/>
          <w:bCs/>
          <w:color w:val="2C2D2E"/>
          <w:sz w:val="32"/>
          <w:szCs w:val="32"/>
        </w:rPr>
        <w:t>«</w:t>
      </w:r>
      <w:proofErr w:type="spellStart"/>
      <w:r w:rsidRPr="00B34C64">
        <w:rPr>
          <w:b/>
          <w:bCs/>
          <w:color w:val="2C2D2E"/>
          <w:sz w:val="32"/>
          <w:szCs w:val="32"/>
        </w:rPr>
        <w:t>Лаоджан</w:t>
      </w:r>
      <w:proofErr w:type="spellEnd"/>
      <w:proofErr w:type="gramStart"/>
      <w:r w:rsidRPr="00B34C64">
        <w:rPr>
          <w:b/>
          <w:bCs/>
          <w:color w:val="2C2D2E"/>
          <w:sz w:val="32"/>
          <w:szCs w:val="32"/>
        </w:rPr>
        <w:t>»,</w:t>
      </w:r>
      <w:proofErr w:type="spellStart"/>
      <w:r w:rsidRPr="00B34C64">
        <w:rPr>
          <w:b/>
          <w:bCs/>
          <w:color w:val="2C2D2E"/>
          <w:sz w:val="32"/>
          <w:szCs w:val="32"/>
        </w:rPr>
        <w:t>Laojun</w:t>
      </w:r>
      <w:proofErr w:type="spellEnd"/>
      <w:proofErr w:type="gramEnd"/>
      <w:r w:rsidRPr="00B34C64">
        <w:rPr>
          <w:b/>
          <w:bCs/>
          <w:color w:val="2C2D2E"/>
          <w:sz w:val="32"/>
          <w:szCs w:val="32"/>
        </w:rPr>
        <w:t xml:space="preserve"> </w:t>
      </w:r>
      <w:proofErr w:type="spellStart"/>
      <w:r w:rsidRPr="00B34C64">
        <w:rPr>
          <w:b/>
          <w:bCs/>
          <w:color w:val="2C2D2E"/>
          <w:sz w:val="32"/>
          <w:szCs w:val="32"/>
        </w:rPr>
        <w:t>Decoction</w:t>
      </w:r>
      <w:proofErr w:type="spellEnd"/>
      <w:r w:rsidRPr="00B34C64">
        <w:rPr>
          <w:color w:val="2C2D2E"/>
          <w:sz w:val="28"/>
          <w:szCs w:val="28"/>
        </w:rPr>
        <w:t xml:space="preserve"> </w:t>
      </w:r>
    </w:p>
    <w:p w:rsidR="00B34C64" w:rsidRDefault="00B34C64" w:rsidP="00B34C64">
      <w:pPr>
        <w:pStyle w:val="a3"/>
        <w:shd w:val="clear" w:color="auto" w:fill="FFFFFF"/>
        <w:spacing w:before="0" w:beforeAutospacing="0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>«Эликсир молодости и долголетия»</w:t>
      </w:r>
      <w:r w:rsidRPr="00B34C64">
        <w:rPr>
          <w:color w:val="2C2D2E"/>
          <w:sz w:val="28"/>
          <w:szCs w:val="28"/>
        </w:rPr>
        <w:br/>
        <w:t xml:space="preserve">— это поистине подарок природы, его рецепт насчитывает более 1000 лет. Он был изобретен в династии Тан и с тех пор передается из поколения в поколение. Его последний, 28-й, наследник — господин Ли </w:t>
      </w:r>
      <w:proofErr w:type="spellStart"/>
      <w:r w:rsidRPr="00B34C64">
        <w:rPr>
          <w:color w:val="2C2D2E"/>
          <w:sz w:val="28"/>
          <w:szCs w:val="28"/>
        </w:rPr>
        <w:t>Хуэйцин</w:t>
      </w:r>
      <w:proofErr w:type="spellEnd"/>
      <w:r w:rsidRPr="00B34C64">
        <w:rPr>
          <w:color w:val="2C2D2E"/>
          <w:sz w:val="28"/>
          <w:szCs w:val="28"/>
        </w:rPr>
        <w:t>, директор фабрики «Долголетие» в г. Шэньчжэне. Отвар «</w:t>
      </w:r>
      <w:proofErr w:type="spellStart"/>
      <w:r w:rsidRPr="00B34C64">
        <w:rPr>
          <w:color w:val="2C2D2E"/>
          <w:sz w:val="28"/>
          <w:szCs w:val="28"/>
        </w:rPr>
        <w:t>Лаоджан</w:t>
      </w:r>
      <w:proofErr w:type="spellEnd"/>
      <w:r w:rsidRPr="00B34C64">
        <w:rPr>
          <w:color w:val="2C2D2E"/>
          <w:sz w:val="28"/>
          <w:szCs w:val="28"/>
        </w:rPr>
        <w:t xml:space="preserve">» входит в серию продуктов долголетия. В его составе 17 диких растений, произрастающих в северных районах </w:t>
      </w:r>
      <w:proofErr w:type="spellStart"/>
      <w:r w:rsidRPr="00B34C64">
        <w:rPr>
          <w:color w:val="2C2D2E"/>
          <w:sz w:val="28"/>
          <w:szCs w:val="28"/>
        </w:rPr>
        <w:t>Китая</w:t>
      </w:r>
      <w:proofErr w:type="spellEnd"/>
      <w:r w:rsidRPr="00B34C64">
        <w:rPr>
          <w:color w:val="2C2D2E"/>
          <w:sz w:val="28"/>
          <w:szCs w:val="28"/>
        </w:rPr>
        <w:t>. Их сбор происходит в строгом соответствии с космическим положением Солнца, Луны и созвездий. «</w:t>
      </w:r>
      <w:proofErr w:type="spellStart"/>
      <w:r w:rsidRPr="00B34C64">
        <w:rPr>
          <w:color w:val="2C2D2E"/>
          <w:sz w:val="28"/>
          <w:szCs w:val="28"/>
        </w:rPr>
        <w:t>Лаоджан</w:t>
      </w:r>
      <w:proofErr w:type="spellEnd"/>
      <w:r w:rsidRPr="00B34C64">
        <w:rPr>
          <w:color w:val="2C2D2E"/>
          <w:sz w:val="28"/>
          <w:szCs w:val="28"/>
        </w:rPr>
        <w:t>» вобрал в себя все достижения традиционной китайской медицины и признан одним из лучших продуктов, защищающих здоровье и замедляющих процессы старения в организме человека.</w:t>
      </w:r>
    </w:p>
    <w:p w:rsidR="006141A7" w:rsidRPr="006141A7" w:rsidRDefault="006141A7" w:rsidP="006141A7">
      <w:pPr>
        <w:pStyle w:val="a3"/>
        <w:shd w:val="clear" w:color="auto" w:fill="FFFFFF"/>
        <w:jc w:val="both"/>
        <w:rPr>
          <w:b/>
          <w:bCs/>
          <w:i/>
          <w:iCs/>
          <w:color w:val="2C2D2E"/>
          <w:sz w:val="28"/>
          <w:szCs w:val="28"/>
        </w:rPr>
      </w:pPr>
      <w:r w:rsidRPr="006141A7">
        <w:rPr>
          <w:b/>
          <w:bCs/>
          <w:i/>
          <w:iCs/>
          <w:color w:val="2C2D2E"/>
          <w:sz w:val="28"/>
          <w:szCs w:val="28"/>
        </w:rPr>
        <w:t>Основное действие – за счет иммуномодулирующих свойств, продлевает молодость и сохраняет долголетие. Обладает общеукрепляющим действием, увеличивает физическую выносливость, умственную и физическую работоспособность, увеличивает жизненный тонус, обладает замечательным антиоксидантным действием, повышает сопротивляемость организма к заболеваниям, предотвращает развитие злокачественных опухолей, нормализует сон, замедляет процессы старения.</w:t>
      </w:r>
    </w:p>
    <w:p w:rsidR="006141A7" w:rsidRPr="006141A7" w:rsidRDefault="006141A7" w:rsidP="006141A7">
      <w:pPr>
        <w:pStyle w:val="a3"/>
        <w:shd w:val="clear" w:color="auto" w:fill="FFFFFF"/>
        <w:jc w:val="both"/>
        <w:rPr>
          <w:color w:val="2C2D2E"/>
          <w:sz w:val="32"/>
          <w:szCs w:val="32"/>
        </w:rPr>
      </w:pPr>
      <w:r w:rsidRPr="006141A7">
        <w:rPr>
          <w:color w:val="2C2D2E"/>
          <w:sz w:val="32"/>
          <w:szCs w:val="32"/>
        </w:rPr>
        <w:t>Отвар «</w:t>
      </w:r>
      <w:proofErr w:type="spellStart"/>
      <w:proofErr w:type="gramStart"/>
      <w:r w:rsidRPr="006141A7">
        <w:rPr>
          <w:color w:val="2C2D2E"/>
          <w:sz w:val="32"/>
          <w:szCs w:val="32"/>
        </w:rPr>
        <w:t>Лаоджан</w:t>
      </w:r>
      <w:proofErr w:type="spellEnd"/>
      <w:r w:rsidRPr="006141A7">
        <w:rPr>
          <w:color w:val="2C2D2E"/>
          <w:sz w:val="32"/>
          <w:szCs w:val="32"/>
        </w:rPr>
        <w:t xml:space="preserve">»   </w:t>
      </w:r>
      <w:proofErr w:type="gramEnd"/>
      <w:r w:rsidRPr="006141A7">
        <w:rPr>
          <w:color w:val="2C2D2E"/>
          <w:sz w:val="32"/>
          <w:szCs w:val="32"/>
        </w:rPr>
        <w:t>является одним из базовых продуктов общеоздоровительного и профилактического направления.</w:t>
      </w:r>
    </w:p>
    <w:p w:rsidR="006141A7" w:rsidRPr="00B34C64" w:rsidRDefault="006141A7" w:rsidP="00B34C64">
      <w:pPr>
        <w:pStyle w:val="a3"/>
        <w:shd w:val="clear" w:color="auto" w:fill="FFFFFF"/>
        <w:spacing w:before="0" w:beforeAutospacing="0"/>
        <w:jc w:val="both"/>
        <w:rPr>
          <w:color w:val="2C2D2E"/>
          <w:sz w:val="28"/>
          <w:szCs w:val="28"/>
        </w:rPr>
      </w:pPr>
    </w:p>
    <w:p w:rsidR="006141A7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>Исследования по оценке влияния отвара «</w:t>
      </w:r>
      <w:proofErr w:type="spellStart"/>
      <w:r w:rsidRPr="00B34C64">
        <w:rPr>
          <w:color w:val="2C2D2E"/>
          <w:sz w:val="28"/>
          <w:szCs w:val="28"/>
        </w:rPr>
        <w:t>Лаоджан</w:t>
      </w:r>
      <w:proofErr w:type="spellEnd"/>
      <w:r w:rsidRPr="00B34C64">
        <w:rPr>
          <w:color w:val="2C2D2E"/>
          <w:sz w:val="28"/>
          <w:szCs w:val="28"/>
        </w:rPr>
        <w:t>» на ведущие системы организма проводились в научно-исследовательских центрах и институтах: китайском Обществе биологического старения, медицинском научно-исследовательском университете Шанхая (</w:t>
      </w:r>
      <w:proofErr w:type="spellStart"/>
      <w:r w:rsidRPr="00B34C64">
        <w:rPr>
          <w:color w:val="2C2D2E"/>
          <w:sz w:val="28"/>
          <w:szCs w:val="28"/>
        </w:rPr>
        <w:t>Китай</w:t>
      </w:r>
      <w:proofErr w:type="spellEnd"/>
      <w:r w:rsidRPr="00B34C64">
        <w:rPr>
          <w:color w:val="2C2D2E"/>
          <w:sz w:val="28"/>
          <w:szCs w:val="28"/>
        </w:rPr>
        <w:t>), Новосибирском институте клинической иммунологии (Россия). Полученные результаты убедительно доказывают, что отвар «</w:t>
      </w:r>
      <w:proofErr w:type="spellStart"/>
      <w:r w:rsidRPr="00B34C64">
        <w:rPr>
          <w:color w:val="2C2D2E"/>
          <w:sz w:val="28"/>
          <w:szCs w:val="28"/>
        </w:rPr>
        <w:t>Лаоджан</w:t>
      </w:r>
      <w:proofErr w:type="spellEnd"/>
      <w:r w:rsidRPr="00B34C64">
        <w:rPr>
          <w:color w:val="2C2D2E"/>
          <w:sz w:val="28"/>
          <w:szCs w:val="28"/>
        </w:rPr>
        <w:t>» является средством универсального действия, равномерно и мягко активирующим все ведущие системы организма.</w:t>
      </w:r>
    </w:p>
    <w:p w:rsidR="00B34C64" w:rsidRPr="00B34C64" w:rsidRDefault="00B34C64" w:rsidP="006141A7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 </w:t>
      </w:r>
      <w:r w:rsidRPr="00B34C64">
        <w:rPr>
          <w:b/>
          <w:bCs/>
          <w:color w:val="2C2D2E"/>
          <w:sz w:val="28"/>
          <w:szCs w:val="28"/>
        </w:rPr>
        <w:t>В результате приема отвара «</w:t>
      </w:r>
      <w:proofErr w:type="spellStart"/>
      <w:r w:rsidRPr="00B34C64">
        <w:rPr>
          <w:b/>
          <w:bCs/>
          <w:color w:val="2C2D2E"/>
          <w:sz w:val="28"/>
          <w:szCs w:val="28"/>
        </w:rPr>
        <w:t>Лаоджан</w:t>
      </w:r>
      <w:proofErr w:type="spellEnd"/>
      <w:r w:rsidRPr="00B34C64">
        <w:rPr>
          <w:b/>
          <w:bCs/>
          <w:color w:val="2C2D2E"/>
          <w:sz w:val="28"/>
          <w:szCs w:val="28"/>
        </w:rPr>
        <w:t>» нормализуется работа главных регуляторов жизнедеятельности организма, нейроэндокринной и иммунной систем, что обеспечивает сбалансированность всех обменных процессов и налаживает работу отдельных органов.</w:t>
      </w:r>
      <w:r w:rsidRPr="00B34C64">
        <w:rPr>
          <w:b/>
          <w:bCs/>
          <w:color w:val="2C2D2E"/>
          <w:sz w:val="28"/>
          <w:szCs w:val="28"/>
        </w:rPr>
        <w:br/>
      </w:r>
    </w:p>
    <w:p w:rsidR="00B34C64" w:rsidRP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lastRenderedPageBreak/>
        <w:t>«</w:t>
      </w:r>
      <w:proofErr w:type="spellStart"/>
      <w:r w:rsidRPr="00B34C64">
        <w:rPr>
          <w:color w:val="2C2D2E"/>
          <w:sz w:val="28"/>
          <w:szCs w:val="28"/>
        </w:rPr>
        <w:t>Лаочжан</w:t>
      </w:r>
      <w:proofErr w:type="spellEnd"/>
      <w:r w:rsidRPr="00B34C64">
        <w:rPr>
          <w:color w:val="2C2D2E"/>
          <w:sz w:val="28"/>
          <w:szCs w:val="28"/>
        </w:rPr>
        <w:t>» - уникальный эликсир молодости и долголетия, содержит в своей основе более десяти натуральных ингредиентов и имеет широкий спектр применения.</w:t>
      </w:r>
    </w:p>
    <w:p w:rsidR="00B34C64" w:rsidRP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>Основное действие – за счет иммуномодулирующих свойств, продлевает молодость и сохраняет долголетие. Обладает общеукрепляющим действием, увеличивает физическую выносливость, умственную и физическую работоспособность, увеличивает жизненный тонус, обладает замечательным антиоксидантным действием, повышает сопротивляемость организма к заболеваниям, предотвращает развитие злокачественных опухолей, нормализует сон, замедляет процессы старения.</w:t>
      </w:r>
    </w:p>
    <w:p w:rsidR="00B34C64" w:rsidRP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>Отвар уникально подобранных трав «</w:t>
      </w:r>
      <w:proofErr w:type="spellStart"/>
      <w:r w:rsidRPr="00B34C64">
        <w:rPr>
          <w:color w:val="2C2D2E"/>
          <w:sz w:val="28"/>
          <w:szCs w:val="28"/>
        </w:rPr>
        <w:t>Лаочжан</w:t>
      </w:r>
      <w:proofErr w:type="spellEnd"/>
      <w:r w:rsidRPr="00B34C64">
        <w:rPr>
          <w:color w:val="2C2D2E"/>
          <w:sz w:val="28"/>
          <w:szCs w:val="28"/>
        </w:rPr>
        <w:t xml:space="preserve">» - является эксклюзивным подарком природы, созданным </w:t>
      </w:r>
      <w:proofErr w:type="gramStart"/>
      <w:r w:rsidRPr="00B34C64">
        <w:rPr>
          <w:color w:val="2C2D2E"/>
          <w:sz w:val="28"/>
          <w:szCs w:val="28"/>
        </w:rPr>
        <w:t>по китайскому рецепту</w:t>
      </w:r>
      <w:proofErr w:type="gramEnd"/>
      <w:r w:rsidRPr="00B34C64">
        <w:rPr>
          <w:color w:val="2C2D2E"/>
          <w:sz w:val="28"/>
          <w:szCs w:val="28"/>
        </w:rPr>
        <w:t xml:space="preserve"> которому насчитывается не менее 1000 лет. «</w:t>
      </w:r>
      <w:proofErr w:type="spellStart"/>
      <w:r w:rsidRPr="00B34C64">
        <w:rPr>
          <w:color w:val="2C2D2E"/>
          <w:sz w:val="28"/>
          <w:szCs w:val="28"/>
        </w:rPr>
        <w:t>Лаочжан</w:t>
      </w:r>
      <w:proofErr w:type="spellEnd"/>
      <w:r w:rsidRPr="00B34C64">
        <w:rPr>
          <w:color w:val="2C2D2E"/>
          <w:sz w:val="28"/>
          <w:szCs w:val="28"/>
        </w:rPr>
        <w:t>» был изобретён во времена династии Тан, и дошёл неизменным до наших дней. Рецепт «</w:t>
      </w:r>
      <w:proofErr w:type="spellStart"/>
      <w:r w:rsidRPr="00B34C64">
        <w:rPr>
          <w:color w:val="2C2D2E"/>
          <w:sz w:val="28"/>
          <w:szCs w:val="28"/>
        </w:rPr>
        <w:t>Лаочжана</w:t>
      </w:r>
      <w:proofErr w:type="spellEnd"/>
      <w:r w:rsidRPr="00B34C64">
        <w:rPr>
          <w:color w:val="2C2D2E"/>
          <w:sz w:val="28"/>
          <w:szCs w:val="28"/>
        </w:rPr>
        <w:t xml:space="preserve">», насчитывающего в своей основе 17 трав, как тайну, передавали из поколения в поколение. В </w:t>
      </w:r>
      <w:proofErr w:type="spellStart"/>
      <w:r w:rsidRPr="00B34C64">
        <w:rPr>
          <w:color w:val="2C2D2E"/>
          <w:sz w:val="28"/>
          <w:szCs w:val="28"/>
        </w:rPr>
        <w:t>Китае</w:t>
      </w:r>
      <w:proofErr w:type="spellEnd"/>
      <w:r w:rsidRPr="00B34C64">
        <w:rPr>
          <w:color w:val="2C2D2E"/>
          <w:sz w:val="28"/>
          <w:szCs w:val="28"/>
        </w:rPr>
        <w:t>, данный отвар включён в серию золотых продуктов долголетия. Отвар «</w:t>
      </w:r>
      <w:proofErr w:type="spellStart"/>
      <w:r w:rsidRPr="00B34C64">
        <w:rPr>
          <w:color w:val="2C2D2E"/>
          <w:sz w:val="28"/>
          <w:szCs w:val="28"/>
        </w:rPr>
        <w:t>Лаочжан</w:t>
      </w:r>
      <w:proofErr w:type="spellEnd"/>
      <w:r w:rsidRPr="00B34C64">
        <w:rPr>
          <w:color w:val="2C2D2E"/>
          <w:sz w:val="28"/>
          <w:szCs w:val="28"/>
        </w:rPr>
        <w:t xml:space="preserve">» медленно, мягко и равномерно активизирует все важные системы человеческого организма и способствует их гармонизации. При приеме отвара происходит нормализация </w:t>
      </w:r>
      <w:proofErr w:type="gramStart"/>
      <w:r w:rsidRPr="00B34C64">
        <w:rPr>
          <w:color w:val="2C2D2E"/>
          <w:sz w:val="28"/>
          <w:szCs w:val="28"/>
        </w:rPr>
        <w:t>работы  иммунной</w:t>
      </w:r>
      <w:proofErr w:type="gramEnd"/>
      <w:r w:rsidRPr="00B34C64">
        <w:rPr>
          <w:color w:val="2C2D2E"/>
          <w:sz w:val="28"/>
          <w:szCs w:val="28"/>
        </w:rPr>
        <w:t xml:space="preserve"> и нейроэндокринной систем. Научные исследования и отзывы показывают, что «</w:t>
      </w:r>
      <w:proofErr w:type="spellStart"/>
      <w:r w:rsidRPr="00B34C64">
        <w:rPr>
          <w:color w:val="2C2D2E"/>
          <w:sz w:val="28"/>
          <w:szCs w:val="28"/>
        </w:rPr>
        <w:t>Лаочжан</w:t>
      </w:r>
      <w:proofErr w:type="spellEnd"/>
      <w:r w:rsidRPr="00B34C64">
        <w:rPr>
          <w:color w:val="2C2D2E"/>
          <w:sz w:val="28"/>
          <w:szCs w:val="28"/>
        </w:rPr>
        <w:t xml:space="preserve">» можно применять как профилактический продукт </w:t>
      </w:r>
      <w:proofErr w:type="gramStart"/>
      <w:r w:rsidRPr="00B34C64">
        <w:rPr>
          <w:color w:val="2C2D2E"/>
          <w:sz w:val="28"/>
          <w:szCs w:val="28"/>
        </w:rPr>
        <w:t>для  длительного</w:t>
      </w:r>
      <w:proofErr w:type="gramEnd"/>
      <w:r w:rsidRPr="00B34C64">
        <w:rPr>
          <w:color w:val="2C2D2E"/>
          <w:sz w:val="28"/>
          <w:szCs w:val="28"/>
        </w:rPr>
        <w:t xml:space="preserve"> поддержания здоровья организма.</w:t>
      </w:r>
    </w:p>
    <w:p w:rsidR="00B34C64" w:rsidRP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Корень и корневище </w:t>
      </w:r>
      <w:proofErr w:type="spellStart"/>
      <w:r w:rsidRPr="00B34C64">
        <w:rPr>
          <w:color w:val="2C2D2E"/>
          <w:sz w:val="28"/>
          <w:szCs w:val="28"/>
        </w:rPr>
        <w:t>акантопанакса</w:t>
      </w:r>
      <w:proofErr w:type="spellEnd"/>
      <w:r w:rsidRPr="00B34C64">
        <w:rPr>
          <w:color w:val="2C2D2E"/>
          <w:sz w:val="28"/>
          <w:szCs w:val="28"/>
        </w:rPr>
        <w:t xml:space="preserve"> колючего обеспечивает стойкий иммуномодулирующий эффект.  Используется в Китайской </w:t>
      </w:r>
      <w:proofErr w:type="gramStart"/>
      <w:r w:rsidRPr="00B34C64">
        <w:rPr>
          <w:color w:val="2C2D2E"/>
          <w:sz w:val="28"/>
          <w:szCs w:val="28"/>
        </w:rPr>
        <w:t>медицине  как</w:t>
      </w:r>
      <w:proofErr w:type="gramEnd"/>
      <w:r w:rsidRPr="00B34C64">
        <w:rPr>
          <w:color w:val="2C2D2E"/>
          <w:sz w:val="28"/>
          <w:szCs w:val="28"/>
        </w:rPr>
        <w:t xml:space="preserve"> общеукрепляющее, тонизирующее,  </w:t>
      </w:r>
      <w:proofErr w:type="spellStart"/>
      <w:r w:rsidRPr="00B34C64">
        <w:rPr>
          <w:color w:val="2C2D2E"/>
          <w:sz w:val="28"/>
          <w:szCs w:val="28"/>
        </w:rPr>
        <w:t>адаптогенное</w:t>
      </w:r>
      <w:proofErr w:type="spellEnd"/>
      <w:r w:rsidRPr="00B34C64">
        <w:rPr>
          <w:color w:val="2C2D2E"/>
          <w:sz w:val="28"/>
          <w:szCs w:val="28"/>
        </w:rPr>
        <w:t>, противовоспалительное, ранозаживляющее средство (раны, ожоги, язвы).</w:t>
      </w:r>
    </w:p>
    <w:p w:rsidR="00B34C64" w:rsidRP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>Кроме этого эликсир «</w:t>
      </w:r>
      <w:proofErr w:type="spellStart"/>
      <w:proofErr w:type="gramStart"/>
      <w:r w:rsidRPr="00B34C64">
        <w:rPr>
          <w:color w:val="2C2D2E"/>
          <w:sz w:val="28"/>
          <w:szCs w:val="28"/>
        </w:rPr>
        <w:t>Лаочжан</w:t>
      </w:r>
      <w:proofErr w:type="spellEnd"/>
      <w:r w:rsidRPr="00B34C64">
        <w:rPr>
          <w:color w:val="2C2D2E"/>
          <w:sz w:val="28"/>
          <w:szCs w:val="28"/>
        </w:rPr>
        <w:t>»  обладает</w:t>
      </w:r>
      <w:proofErr w:type="gramEnd"/>
      <w:r w:rsidRPr="00B34C64">
        <w:rPr>
          <w:color w:val="2C2D2E"/>
          <w:sz w:val="28"/>
          <w:szCs w:val="28"/>
        </w:rPr>
        <w:t xml:space="preserve"> свойствами мощного антиоксидантного воздействия.</w:t>
      </w:r>
    </w:p>
    <w:p w:rsidR="00B34C64" w:rsidRP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>Нормализует естественный гормональный фон, предотвращая длительный период инволюцию мужской и женской репродуктивной сферы. Является стабилизующим регулятором деятельности центральной нервной системы. Приводит в норму функциональные способности желез внутренней секреции. Способствует восстановлению прохождения импульса по внутреннему нервному волокну.</w:t>
      </w:r>
    </w:p>
    <w:p w:rsidR="00B34C64" w:rsidRP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>Благодаря своей уникальности «</w:t>
      </w:r>
      <w:proofErr w:type="spellStart"/>
      <w:r w:rsidRPr="00B34C64">
        <w:rPr>
          <w:color w:val="2C2D2E"/>
          <w:sz w:val="28"/>
          <w:szCs w:val="28"/>
        </w:rPr>
        <w:t>Лаочжан</w:t>
      </w:r>
      <w:proofErr w:type="spellEnd"/>
      <w:r w:rsidRPr="00B34C64">
        <w:rPr>
          <w:color w:val="2C2D2E"/>
          <w:sz w:val="28"/>
          <w:szCs w:val="28"/>
        </w:rPr>
        <w:t>» используется в очень широком спектре всей Китайской медицины. Все достоинства отвара «</w:t>
      </w:r>
      <w:proofErr w:type="spellStart"/>
      <w:r w:rsidRPr="00B34C64">
        <w:rPr>
          <w:color w:val="2C2D2E"/>
          <w:sz w:val="28"/>
          <w:szCs w:val="28"/>
        </w:rPr>
        <w:t>Лаочжан</w:t>
      </w:r>
      <w:proofErr w:type="spellEnd"/>
      <w:r w:rsidRPr="00B34C64">
        <w:rPr>
          <w:color w:val="2C2D2E"/>
          <w:sz w:val="28"/>
          <w:szCs w:val="28"/>
        </w:rPr>
        <w:t xml:space="preserve">» подтверждены клиническими и качественными испытаниями в многопрофильных клиниках России. НИИ морской и промышленной медицины Санкт-Петербурга, НИИ Новосибирска СО РАМН клинической </w:t>
      </w:r>
      <w:r w:rsidRPr="00B34C64">
        <w:rPr>
          <w:color w:val="2C2D2E"/>
          <w:sz w:val="28"/>
          <w:szCs w:val="28"/>
        </w:rPr>
        <w:lastRenderedPageBreak/>
        <w:t>иммунологии медицинской академии города Кемерово и других.</w:t>
      </w:r>
      <w:r w:rsidRPr="00B34C64">
        <w:rPr>
          <w:color w:val="2C2D2E"/>
          <w:sz w:val="28"/>
          <w:szCs w:val="28"/>
        </w:rPr>
        <w:br/>
      </w:r>
    </w:p>
    <w:p w:rsidR="006141A7" w:rsidRDefault="006141A7" w:rsidP="006141A7">
      <w:pPr>
        <w:pStyle w:val="a3"/>
        <w:shd w:val="clear" w:color="auto" w:fill="FFFFFF"/>
        <w:spacing w:before="0" w:beforeAutospacing="0"/>
        <w:jc w:val="both"/>
        <w:rPr>
          <w:color w:val="2C2D2E"/>
          <w:sz w:val="28"/>
          <w:szCs w:val="28"/>
        </w:rPr>
      </w:pPr>
      <w:r w:rsidRPr="006141A7">
        <w:rPr>
          <w:b/>
          <w:bCs/>
          <w:color w:val="2C2D2E"/>
          <w:sz w:val="28"/>
          <w:szCs w:val="28"/>
        </w:rPr>
        <w:t>Состав:</w:t>
      </w:r>
      <w:r w:rsidRPr="00B34C64">
        <w:rPr>
          <w:color w:val="2C2D2E"/>
          <w:sz w:val="28"/>
          <w:szCs w:val="28"/>
        </w:rPr>
        <w:t xml:space="preserve">  корень </w:t>
      </w:r>
      <w:proofErr w:type="spellStart"/>
      <w:r w:rsidRPr="00B34C64">
        <w:rPr>
          <w:color w:val="2C2D2E"/>
          <w:sz w:val="28"/>
          <w:szCs w:val="28"/>
        </w:rPr>
        <w:t>акантопанакса</w:t>
      </w:r>
      <w:proofErr w:type="spellEnd"/>
      <w:r w:rsidRPr="00B34C64">
        <w:rPr>
          <w:color w:val="2C2D2E"/>
          <w:sz w:val="28"/>
          <w:szCs w:val="28"/>
        </w:rPr>
        <w:t xml:space="preserve"> колючего, плоды лимонника китайского, ягоды дерезы китайской, семена кипариса вечнозеленого, плоды </w:t>
      </w:r>
      <w:proofErr w:type="spellStart"/>
      <w:r w:rsidRPr="00B34C64">
        <w:rPr>
          <w:color w:val="2C2D2E"/>
          <w:sz w:val="28"/>
          <w:szCs w:val="28"/>
        </w:rPr>
        <w:t>унаби</w:t>
      </w:r>
      <w:proofErr w:type="spellEnd"/>
      <w:r w:rsidRPr="00B34C64">
        <w:rPr>
          <w:color w:val="2C2D2E"/>
          <w:sz w:val="28"/>
          <w:szCs w:val="28"/>
        </w:rPr>
        <w:t xml:space="preserve">, корень </w:t>
      </w:r>
      <w:proofErr w:type="spellStart"/>
      <w:r w:rsidRPr="00B34C64">
        <w:rPr>
          <w:color w:val="2C2D2E"/>
          <w:sz w:val="28"/>
          <w:szCs w:val="28"/>
        </w:rPr>
        <w:t>ремании</w:t>
      </w:r>
      <w:proofErr w:type="spellEnd"/>
      <w:r w:rsidRPr="00B34C64">
        <w:rPr>
          <w:color w:val="2C2D2E"/>
          <w:sz w:val="28"/>
          <w:szCs w:val="28"/>
        </w:rPr>
        <w:t xml:space="preserve"> клейкой, трава горянки крупноцветковой, корневища </w:t>
      </w:r>
      <w:proofErr w:type="spellStart"/>
      <w:r w:rsidRPr="00B34C64">
        <w:rPr>
          <w:color w:val="2C2D2E"/>
          <w:sz w:val="28"/>
          <w:szCs w:val="28"/>
        </w:rPr>
        <w:t>анемаррены</w:t>
      </w:r>
      <w:proofErr w:type="spellEnd"/>
      <w:r w:rsidRPr="00B34C64">
        <w:rPr>
          <w:color w:val="2C2D2E"/>
          <w:sz w:val="28"/>
          <w:szCs w:val="28"/>
        </w:rPr>
        <w:t xml:space="preserve"> </w:t>
      </w:r>
      <w:proofErr w:type="spellStart"/>
      <w:r w:rsidRPr="00B34C64">
        <w:rPr>
          <w:color w:val="2C2D2E"/>
          <w:sz w:val="28"/>
          <w:szCs w:val="28"/>
        </w:rPr>
        <w:t>асфоделовидной</w:t>
      </w:r>
      <w:proofErr w:type="spellEnd"/>
      <w:r w:rsidRPr="00B34C64">
        <w:rPr>
          <w:color w:val="2C2D2E"/>
          <w:sz w:val="28"/>
          <w:szCs w:val="28"/>
        </w:rPr>
        <w:t xml:space="preserve">, корень </w:t>
      </w:r>
      <w:proofErr w:type="spellStart"/>
      <w:r w:rsidRPr="00B34C64">
        <w:rPr>
          <w:color w:val="2C2D2E"/>
          <w:sz w:val="28"/>
          <w:szCs w:val="28"/>
        </w:rPr>
        <w:t>моринды</w:t>
      </w:r>
      <w:proofErr w:type="spellEnd"/>
      <w:r w:rsidRPr="00B34C64">
        <w:rPr>
          <w:color w:val="2C2D2E"/>
          <w:sz w:val="28"/>
          <w:szCs w:val="28"/>
        </w:rPr>
        <w:t xml:space="preserve"> лекарственной, кора бархата амурского, корневища ямса китайского, плоды малины сахалинской.</w:t>
      </w:r>
    </w:p>
    <w:p w:rsidR="00B34C64" w:rsidRPr="006141A7" w:rsidRDefault="00B34C64" w:rsidP="00B34C64">
      <w:pPr>
        <w:pStyle w:val="a3"/>
        <w:shd w:val="clear" w:color="auto" w:fill="FFFFFF"/>
        <w:jc w:val="both"/>
        <w:rPr>
          <w:b/>
          <w:bCs/>
          <w:color w:val="2C2D2E"/>
          <w:sz w:val="28"/>
          <w:szCs w:val="28"/>
        </w:rPr>
      </w:pPr>
      <w:r w:rsidRPr="006141A7">
        <w:rPr>
          <w:b/>
          <w:bCs/>
          <w:color w:val="2C2D2E"/>
          <w:sz w:val="28"/>
          <w:szCs w:val="28"/>
        </w:rPr>
        <w:t>Показания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для общего замедления процесса старения;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астенические состояния;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состояния иммунодефицитные;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неврастения,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депрессивный невроз;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как препарат способный повышать устойчивость к различным стрессовым ситуациям;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доброкачественные новообразования любой локализации(кисты, полипы и </w:t>
      </w:r>
      <w:proofErr w:type="spellStart"/>
      <w:r w:rsidRPr="00B34C64">
        <w:rPr>
          <w:color w:val="2C2D2E"/>
          <w:sz w:val="28"/>
          <w:szCs w:val="28"/>
        </w:rPr>
        <w:t>др</w:t>
      </w:r>
      <w:proofErr w:type="spellEnd"/>
      <w:r w:rsidRPr="00B34C64">
        <w:rPr>
          <w:color w:val="2C2D2E"/>
          <w:sz w:val="28"/>
          <w:szCs w:val="28"/>
        </w:rPr>
        <w:t xml:space="preserve">);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чтобы значительно улучшить умственную деятельность;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ч</w:t>
      </w:r>
      <w:r w:rsidRPr="00B34C64">
        <w:rPr>
          <w:color w:val="2C2D2E"/>
          <w:sz w:val="28"/>
          <w:szCs w:val="28"/>
        </w:rPr>
        <w:t xml:space="preserve">тобы повысить выносливость спортсменов на тренировках;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разные состояния после химиотерапии и лучевой терапии у больных онкологией(снимает интоксикацию, улучшает качество жизни);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перед и послеоперационной реабилитации;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как средство для профилактики отравлений разной тяжести при работе с различными ядами;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для скорейшего выздоровления после комплексного лечения;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состояние сахарного диабета;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нарушение работы щитовидной железы;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кишечника дисбактериоз;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lastRenderedPageBreak/>
        <w:t xml:space="preserve">язвенная болезнь двенадцатиперстной кишки и желудка;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сильный токсикоз при беременности;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>фригидность,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 импотенция;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нарушен менструальный цикл;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профилактика фаз обострения сезонных хронических заболеваний;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дистония вегетососудистая; </w:t>
      </w:r>
    </w:p>
    <w:p w:rsid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нарушение работы ЖКТ; </w:t>
      </w:r>
    </w:p>
    <w:p w:rsidR="006141A7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 xml:space="preserve">при патологическом климаксе; </w:t>
      </w:r>
    </w:p>
    <w:p w:rsidR="00B34C64" w:rsidRPr="00B34C64" w:rsidRDefault="00B34C64" w:rsidP="00B34C64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B34C64">
        <w:rPr>
          <w:color w:val="2C2D2E"/>
          <w:sz w:val="28"/>
          <w:szCs w:val="28"/>
        </w:rPr>
        <w:t>для реабилитации после родов.</w:t>
      </w:r>
    </w:p>
    <w:p w:rsidR="00EA04D4" w:rsidRDefault="006141A7">
      <w:r w:rsidRPr="006141A7">
        <w:rPr>
          <w:rFonts w:ascii="Times New Roman" w:hAnsi="Times New Roman" w:cs="Times New Roman"/>
          <w:b/>
          <w:bCs/>
          <w:color w:val="2C2D2E"/>
          <w:sz w:val="28"/>
          <w:szCs w:val="28"/>
        </w:rPr>
        <w:t>Рекомендации по применению:</w:t>
      </w:r>
      <w:r w:rsidRPr="00B34C64">
        <w:rPr>
          <w:rFonts w:ascii="Times New Roman" w:hAnsi="Times New Roman" w:cs="Times New Roman"/>
          <w:color w:val="2C2D2E"/>
          <w:sz w:val="28"/>
          <w:szCs w:val="28"/>
        </w:rPr>
        <w:t xml:space="preserve">  Взрослым по 1 флакону (10,0 мл) в день во время еды. Перед употреблением взбалтывать. Продолжительность приема - 1 месяц.</w:t>
      </w:r>
      <w:r w:rsidRPr="00B34C64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947D3F" w:rsidRDefault="00947D3F"/>
    <w:p w:rsidR="00947D3F" w:rsidRDefault="00947D3F">
      <w:r>
        <w:t>10 флаконов по 10 мл</w:t>
      </w:r>
    </w:p>
    <w:sectPr w:rsidR="0094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64"/>
    <w:rsid w:val="006141A7"/>
    <w:rsid w:val="00947D3F"/>
    <w:rsid w:val="00B34C64"/>
    <w:rsid w:val="00E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372E"/>
  <w15:chartTrackingRefBased/>
  <w15:docId w15:val="{81A2C421-40C9-4B98-AC34-52F9D742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2023-03-01T15:22:00Z</dcterms:created>
  <dcterms:modified xsi:type="dcterms:W3CDTF">2023-03-02T09:48:00Z</dcterms:modified>
</cp:coreProperties>
</file>